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35" w:rsidRPr="002E4DE9" w:rsidRDefault="00B96C35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38167C" w:rsidRPr="00BC47A9" w:rsidRDefault="0038167C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38167C" w:rsidRDefault="0038167C" w:rsidP="0038167C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Dle § 119 </w:t>
      </w:r>
      <w:r w:rsidR="009612F2">
        <w:rPr>
          <w:rFonts w:asciiTheme="minorHAnsi" w:hAnsiTheme="minorHAnsi" w:cstheme="minorHAnsi"/>
          <w:b/>
          <w:sz w:val="24"/>
        </w:rPr>
        <w:t>odst. 2 z</w:t>
      </w:r>
      <w:r w:rsidR="009612F2"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Písemná </w:t>
      </w: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zpráva o výsledku posouzení splnění podmínek účasti u vybraného dodavatele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</w:p>
    <w:p w:rsidR="00083DF6" w:rsidRPr="00933189" w:rsidRDefault="00083DF6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7E18F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030806">
        <w:rPr>
          <w:rFonts w:asciiTheme="minorHAnsi" w:hAnsiTheme="minorHAnsi" w:cstheme="minorHAnsi"/>
          <w:b/>
          <w:sz w:val="24"/>
        </w:rPr>
        <w:t>Hodnocení nabídek</w:t>
      </w:r>
    </w:p>
    <w:p w:rsidR="007E18F6" w:rsidRPr="0003080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A) 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4"/>
        <w:gridCol w:w="6344"/>
      </w:tblGrid>
      <w:tr w:rsidR="00316FF0" w:rsidRPr="00316FF0" w:rsidTr="0045514B">
        <w:tc>
          <w:tcPr>
            <w:tcW w:w="1585" w:type="pct"/>
            <w:shd w:val="clear" w:color="auto" w:fill="B8CCE4" w:themeFill="accent1" w:themeFillTint="66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shd w:val="clear" w:color="auto" w:fill="B8CCE4" w:themeFill="accent1" w:themeFillTint="66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Kompletní obnova veřejného osvětlení města Chrudim - I. etapa</w:t>
            </w:r>
          </w:p>
        </w:tc>
      </w:tr>
      <w:tr w:rsidR="00316FF0" w:rsidRPr="00316FF0" w:rsidTr="0045514B">
        <w:tc>
          <w:tcPr>
            <w:tcW w:w="5000" w:type="pct"/>
            <w:gridSpan w:val="2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Zadavatel</w:t>
            </w:r>
          </w:p>
        </w:tc>
      </w:tr>
      <w:tr w:rsidR="00316FF0" w:rsidRPr="00316FF0" w:rsidTr="0045514B">
        <w:trPr>
          <w:trHeight w:val="282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Název / obchodní </w:t>
            </w:r>
            <w:proofErr w:type="gramStart"/>
            <w:r w:rsidRPr="00316FF0">
              <w:rPr>
                <w:rFonts w:asciiTheme="minorHAnsi" w:hAnsiTheme="minorHAnsi" w:cstheme="minorHAnsi"/>
                <w:b/>
                <w:szCs w:val="20"/>
              </w:rPr>
              <w:t>firma :</w:t>
            </w:r>
            <w:proofErr w:type="gramEnd"/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>město Chrudim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IČ: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>00270211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Adresa sídla / místa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podnikání: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Resselovo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nám. 77, 537 01 Chrudim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Osoby oprávněné </w:t>
            </w:r>
            <w:proofErr w:type="gramStart"/>
            <w:r w:rsidRPr="00316FF0">
              <w:rPr>
                <w:rFonts w:asciiTheme="minorHAnsi" w:hAnsiTheme="minorHAnsi" w:cstheme="minorHAnsi"/>
                <w:b/>
                <w:szCs w:val="20"/>
              </w:rPr>
              <w:t>za</w:t>
            </w:r>
            <w:proofErr w:type="gramEnd"/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zadavatele jednat: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szCs w:val="20"/>
              </w:rPr>
              <w:t xml:space="preserve">Ing. František Pilný, MBA, starosta města </w:t>
            </w:r>
          </w:p>
        </w:tc>
      </w:tr>
      <w:tr w:rsidR="00316FF0" w:rsidRPr="00316FF0" w:rsidTr="0045514B">
        <w:trPr>
          <w:trHeight w:val="278"/>
        </w:trPr>
        <w:tc>
          <w:tcPr>
            <w:tcW w:w="158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Osoba oprávněná výkonem zadavatelských činností na základě smlouvy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(zástupce zadavatele):</w:t>
            </w:r>
          </w:p>
        </w:tc>
        <w:tc>
          <w:tcPr>
            <w:tcW w:w="3415" w:type="pct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 xml:space="preserve">Ing. František </w:t>
            </w:r>
            <w:proofErr w:type="spellStart"/>
            <w:r w:rsidRPr="00316FF0">
              <w:rPr>
                <w:rFonts w:asciiTheme="minorHAnsi" w:hAnsiTheme="minorHAnsi" w:cstheme="minorHAnsi"/>
                <w:b/>
                <w:szCs w:val="20"/>
              </w:rPr>
              <w:t>Balek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Pacltova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 505, Liberec XXV-</w:t>
            </w:r>
            <w:proofErr w:type="spellStart"/>
            <w:r w:rsidRPr="00316FF0">
              <w:rPr>
                <w:rFonts w:asciiTheme="minorHAnsi" w:hAnsiTheme="minorHAnsi" w:cstheme="minorHAnsi"/>
                <w:szCs w:val="20"/>
              </w:rPr>
              <w:t>Vesec</w:t>
            </w:r>
            <w:proofErr w:type="spellEnd"/>
            <w:r w:rsidRPr="00316FF0">
              <w:rPr>
                <w:rFonts w:asciiTheme="minorHAnsi" w:hAnsiTheme="minorHAnsi" w:cstheme="minorHAnsi"/>
                <w:szCs w:val="20"/>
              </w:rPr>
              <w:t xml:space="preserve">, 463 12, IČO: 04208242, tel: 604 446 789, </w:t>
            </w:r>
            <w:hyperlink r:id="rId8" w:history="1">
              <w:r w:rsidRPr="00316FF0">
                <w:rPr>
                  <w:rStyle w:val="Hypertextovodkaz"/>
                  <w:rFonts w:asciiTheme="minorHAnsi" w:hAnsiTheme="minorHAnsi" w:cstheme="minorHAnsi"/>
                  <w:szCs w:val="20"/>
                </w:rPr>
                <w:t>fbalek@seznam.cz</w:t>
              </w:r>
            </w:hyperlink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16FF0" w:rsidRPr="00316FF0" w:rsidTr="0045514B">
        <w:trPr>
          <w:trHeight w:val="278"/>
        </w:trPr>
        <w:tc>
          <w:tcPr>
            <w:tcW w:w="5000" w:type="pct"/>
            <w:gridSpan w:val="2"/>
          </w:tcPr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Tato zakázka je spolufinancována z NÁRODNÍHO PLÁNU OBNOVY, výzva č. NPO 1/2022, komponenta 2.2.2.</w:t>
            </w:r>
          </w:p>
          <w:p w:rsidR="00316FF0" w:rsidRPr="00316FF0" w:rsidRDefault="00316FF0" w:rsidP="00316FF0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316FF0">
              <w:rPr>
                <w:rFonts w:asciiTheme="minorHAnsi" w:hAnsiTheme="minorHAnsi" w:cstheme="minorHAnsi"/>
                <w:b/>
                <w:szCs w:val="20"/>
              </w:rPr>
              <w:t>Vybraný dodavatel, se kterým bude uzavřena smlouva, je povinen dodržet všechny podmínky poskytovatele dotace.</w:t>
            </w:r>
          </w:p>
        </w:tc>
      </w:tr>
    </w:tbl>
    <w:p w:rsidR="00316FF0" w:rsidRDefault="00316FF0" w:rsidP="00316FF0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 w:rsidRPr="007E18F6">
        <w:rPr>
          <w:rFonts w:asciiTheme="minorHAnsi" w:hAnsiTheme="minorHAnsi" w:cstheme="minorHAnsi"/>
        </w:rPr>
        <w:t>otevřené nadlimitní řízení</w:t>
      </w:r>
    </w:p>
    <w:p w:rsidR="00316FF0" w:rsidRDefault="00316FF0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Konstatuje se, že komise je usnášeníschopná, když jsou přítomny nejméně dvě třetiny členů nebo jejich náhradníků.</w:t>
      </w:r>
    </w:p>
    <w:p w:rsidR="0068376E" w:rsidRDefault="0068376E" w:rsidP="004C10C1">
      <w:pPr>
        <w:jc w:val="both"/>
        <w:rPr>
          <w:rFonts w:asciiTheme="minorHAnsi" w:hAnsiTheme="minorHAnsi" w:cstheme="minorHAnsi"/>
          <w:szCs w:val="20"/>
        </w:rPr>
      </w:pPr>
    </w:p>
    <w:p w:rsidR="004C10C1" w:rsidRPr="007E18F6" w:rsidRDefault="004C10C1" w:rsidP="004C10C1">
      <w:pPr>
        <w:jc w:val="both"/>
        <w:rPr>
          <w:rFonts w:asciiTheme="minorHAnsi" w:hAnsiTheme="minorHAnsi" w:cstheme="minorHAnsi"/>
          <w:szCs w:val="20"/>
        </w:rPr>
      </w:pPr>
      <w:r w:rsidRPr="00054D1B">
        <w:rPr>
          <w:rFonts w:asciiTheme="minorHAnsi" w:hAnsiTheme="minorHAnsi" w:cstheme="minorHAnsi"/>
          <w:szCs w:val="20"/>
        </w:rPr>
        <w:t xml:space="preserve">Komise se shodla, že provede nejdříve hodnocení všech nabídek, které nebyly vyřazeny při otevírání </w:t>
      </w:r>
      <w:r>
        <w:rPr>
          <w:rFonts w:asciiTheme="minorHAnsi" w:hAnsiTheme="minorHAnsi" w:cstheme="minorHAnsi"/>
          <w:szCs w:val="20"/>
        </w:rPr>
        <w:t>nabídek</w:t>
      </w:r>
      <w:r w:rsidRPr="00054D1B">
        <w:rPr>
          <w:rFonts w:asciiTheme="minorHAnsi" w:hAnsiTheme="minorHAnsi" w:cstheme="minorHAnsi"/>
          <w:szCs w:val="20"/>
        </w:rPr>
        <w:t xml:space="preserve">, a následně bude u nejvýhodnější nabídky posuzovat splnění podmínek účasti v zadávacím řízení. </w:t>
      </w:r>
      <w:r w:rsidRPr="007E18F6">
        <w:rPr>
          <w:rFonts w:asciiTheme="minorHAnsi" w:hAnsiTheme="minorHAnsi" w:cstheme="minorHAnsi"/>
          <w:szCs w:val="20"/>
        </w:rPr>
        <w:t xml:space="preserve">Výsledek </w:t>
      </w:r>
      <w:r>
        <w:rPr>
          <w:rFonts w:asciiTheme="minorHAnsi" w:hAnsiTheme="minorHAnsi" w:cstheme="minorHAnsi"/>
          <w:szCs w:val="20"/>
        </w:rPr>
        <w:t>jednání komise se</w:t>
      </w:r>
      <w:r w:rsidRPr="007E18F6">
        <w:rPr>
          <w:rFonts w:asciiTheme="minorHAnsi" w:hAnsiTheme="minorHAnsi" w:cstheme="minorHAnsi"/>
          <w:szCs w:val="20"/>
        </w:rPr>
        <w:t xml:space="preserve"> uvádí v této zprávě.  </w:t>
      </w:r>
    </w:p>
    <w:p w:rsidR="004C10C1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4C10C1" w:rsidRPr="007E18F6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lastRenderedPageBreak/>
        <w:t>B) Osoby, které se podíleli na hodnocení:</w:t>
      </w:r>
    </w:p>
    <w:p w:rsidR="007E18F6" w:rsidRDefault="007E18F6" w:rsidP="007E18F6">
      <w:pPr>
        <w:jc w:val="both"/>
        <w:rPr>
          <w:rFonts w:asciiTheme="minorHAnsi" w:hAnsiTheme="minorHAnsi" w:cstheme="minorHAnsi"/>
          <w:szCs w:val="20"/>
        </w:rPr>
      </w:pPr>
      <w:r w:rsidRPr="007E18F6">
        <w:rPr>
          <w:rFonts w:asciiTheme="minorHAnsi" w:hAnsiTheme="minorHAnsi" w:cstheme="minorHAnsi"/>
          <w:szCs w:val="20"/>
        </w:rPr>
        <w:t>Zadavatel níže identifikuje fyzické osoby dle § 119 odst. 2 písm. b) zákona, které se na hodnocení podílely a zároveň provedly hodnocení nabídek:</w:t>
      </w:r>
    </w:p>
    <w:p w:rsidR="00054D1B" w:rsidRDefault="00054D1B" w:rsidP="007E18F6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2"/>
      </w:tblGrid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</w:tr>
      <w:tr w:rsidR="00316FF0" w:rsidRPr="00E90442" w:rsidTr="00316FF0">
        <w:trPr>
          <w:cantSplit/>
          <w:trHeight w:val="20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Ing. Aleš </w:t>
            </w:r>
            <w:proofErr w:type="spellStart"/>
            <w:r w:rsidRPr="000E5340">
              <w:t>Nunvář</w:t>
            </w:r>
            <w:proofErr w:type="spellEnd"/>
            <w:r w:rsidRPr="000E5340">
              <w:t xml:space="preserve">, radní města Chrudim </w:t>
            </w:r>
          </w:p>
        </w:tc>
      </w:tr>
      <w:tr w:rsidR="00316FF0" w:rsidRPr="00E90442" w:rsidTr="00316FF0">
        <w:trPr>
          <w:cantSplit/>
          <w:trHeight w:val="15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Soběslav Dušek, Odbor investic</w:t>
            </w:r>
          </w:p>
        </w:tc>
      </w:tr>
      <w:tr w:rsidR="00316FF0" w:rsidRPr="00E90442" w:rsidTr="00316FF0">
        <w:trPr>
          <w:cantSplit/>
          <w:trHeight w:val="2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Lenka Šiklová, metodik pro veřejné zakázky</w:t>
            </w:r>
          </w:p>
        </w:tc>
      </w:tr>
      <w:tr w:rsidR="00316FF0" w:rsidRPr="00E90442" w:rsidTr="00316FF0">
        <w:trPr>
          <w:cantSplit/>
          <w:trHeight w:val="23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Tomáš Vápeník, Odbor investic </w:t>
            </w:r>
          </w:p>
        </w:tc>
      </w:tr>
      <w:tr w:rsidR="00316FF0" w:rsidRPr="00E90442" w:rsidTr="00316FF0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David </w:t>
            </w:r>
            <w:proofErr w:type="spellStart"/>
            <w:r w:rsidRPr="000E5340">
              <w:t>Chudomský</w:t>
            </w:r>
            <w:proofErr w:type="spellEnd"/>
            <w:r w:rsidRPr="000E5340">
              <w:t>, Odbor územního plánování</w:t>
            </w:r>
          </w:p>
        </w:tc>
      </w:tr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Zdeněk Kolář, 1. místostarosta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Petr Pecina,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Dana </w:t>
            </w:r>
            <w:proofErr w:type="spellStart"/>
            <w:r w:rsidRPr="005B40FD">
              <w:t>Šmoková</w:t>
            </w:r>
            <w:proofErr w:type="spellEnd"/>
            <w:r w:rsidRPr="005B40FD">
              <w:t>, metodik pro veřejné zakázky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Emil </w:t>
            </w:r>
            <w:proofErr w:type="spellStart"/>
            <w:r w:rsidRPr="005B40FD">
              <w:t>Melnik</w:t>
            </w:r>
            <w:proofErr w:type="spellEnd"/>
            <w:r w:rsidRPr="005B40FD">
              <w:t>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Hana </w:t>
            </w:r>
            <w:proofErr w:type="spellStart"/>
            <w:r w:rsidRPr="005B40FD">
              <w:t>Luptáková</w:t>
            </w:r>
            <w:proofErr w:type="spellEnd"/>
            <w:r w:rsidRPr="005B40FD">
              <w:t>, Odbor územního plánování</w:t>
            </w:r>
          </w:p>
        </w:tc>
      </w:tr>
    </w:tbl>
    <w:p w:rsidR="004C10C1" w:rsidRPr="007E18F6" w:rsidRDefault="004C10C1" w:rsidP="007E18F6">
      <w:pPr>
        <w:jc w:val="both"/>
        <w:rPr>
          <w:rFonts w:asciiTheme="minorHAnsi" w:hAnsiTheme="minorHAnsi" w:cstheme="minorHAnsi"/>
          <w:szCs w:val="20"/>
        </w:rPr>
      </w:pP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38167C" w:rsidRPr="007E18F6" w:rsidRDefault="007E18F6" w:rsidP="00BA0BF1">
      <w:pPr>
        <w:jc w:val="both"/>
        <w:rPr>
          <w:rFonts w:asciiTheme="minorHAnsi" w:hAnsiTheme="minorHAnsi" w:cstheme="minorHAnsi"/>
          <w:b/>
          <w:szCs w:val="20"/>
        </w:rPr>
      </w:pPr>
      <w:r w:rsidRPr="007E18F6">
        <w:rPr>
          <w:rFonts w:asciiTheme="minorHAnsi" w:hAnsiTheme="minorHAnsi" w:cstheme="minorHAnsi"/>
          <w:b/>
          <w:szCs w:val="20"/>
        </w:rPr>
        <w:t xml:space="preserve">C) </w:t>
      </w:r>
      <w:r w:rsidR="0038167C" w:rsidRPr="007E18F6">
        <w:rPr>
          <w:rFonts w:asciiTheme="minorHAnsi" w:hAnsiTheme="minorHAnsi" w:cstheme="minorHAnsi"/>
          <w:b/>
          <w:szCs w:val="20"/>
        </w:rPr>
        <w:t xml:space="preserve">Seznam podaných </w:t>
      </w:r>
      <w:r w:rsidRPr="007E18F6">
        <w:rPr>
          <w:rFonts w:asciiTheme="minorHAnsi" w:hAnsiTheme="minorHAnsi" w:cstheme="minorHAnsi"/>
          <w:b/>
          <w:szCs w:val="20"/>
        </w:rPr>
        <w:t xml:space="preserve">a hodnocených </w:t>
      </w:r>
      <w:r w:rsidR="0038167C" w:rsidRPr="007E18F6">
        <w:rPr>
          <w:rFonts w:asciiTheme="minorHAnsi" w:hAnsiTheme="minorHAnsi" w:cstheme="minorHAnsi"/>
          <w:b/>
          <w:szCs w:val="20"/>
        </w:rPr>
        <w:t>nabídek: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9322" w:type="dxa"/>
        <w:tblLook w:val="04A0"/>
      </w:tblPr>
      <w:tblGrid>
        <w:gridCol w:w="1242"/>
        <w:gridCol w:w="5245"/>
        <w:gridCol w:w="2835"/>
      </w:tblGrid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5245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835" w:type="dxa"/>
          </w:tcPr>
          <w:p w:rsidR="007E18F6" w:rsidRDefault="007E18F6" w:rsidP="007E18F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IČ</w:t>
            </w:r>
          </w:p>
        </w:tc>
      </w:tr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5245" w:type="dxa"/>
          </w:tcPr>
          <w:p w:rsidR="007E18F6" w:rsidRPr="00E136D5" w:rsidRDefault="00316FF0" w:rsidP="00316FF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316FF0">
              <w:rPr>
                <w:rFonts w:ascii="Calibri" w:eastAsia="Times New Roman" w:hAnsi="Calibri" w:cs="Calibri"/>
                <w:sz w:val="24"/>
              </w:rPr>
              <w:t xml:space="preserve">LAMBERGA </w:t>
            </w:r>
            <w:r w:rsidR="00726E2C" w:rsidRPr="00726E2C">
              <w:rPr>
                <w:rFonts w:ascii="Calibri" w:eastAsia="Times New Roman" w:hAnsi="Calibri" w:cs="Calibri"/>
                <w:sz w:val="24"/>
              </w:rPr>
              <w:t xml:space="preserve">s.r.o.   </w:t>
            </w:r>
          </w:p>
        </w:tc>
        <w:tc>
          <w:tcPr>
            <w:tcW w:w="2835" w:type="dxa"/>
          </w:tcPr>
          <w:p w:rsidR="007E18F6" w:rsidRPr="007D7A17" w:rsidRDefault="00316FF0" w:rsidP="00AD7A1B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6"/>
              </w:rPr>
            </w:pPr>
            <w:r w:rsidRPr="00316FF0">
              <w:rPr>
                <w:rFonts w:asciiTheme="minorHAnsi" w:hAnsiTheme="minorHAnsi" w:cstheme="minorHAnsi"/>
                <w:sz w:val="24"/>
              </w:rPr>
              <w:t>29241723</w:t>
            </w:r>
          </w:p>
        </w:tc>
      </w:tr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5245" w:type="dxa"/>
          </w:tcPr>
          <w:p w:rsidR="007E18F6" w:rsidRPr="00A10DCC" w:rsidRDefault="00726E2C" w:rsidP="00726E2C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835" w:type="dxa"/>
          </w:tcPr>
          <w:p w:rsidR="007E18F6" w:rsidRPr="007D7A17" w:rsidRDefault="00726E2C" w:rsidP="00AD7A1B">
            <w:pPr>
              <w:jc w:val="center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726E2C">
              <w:rPr>
                <w:rFonts w:ascii="Calibri" w:hAnsi="Calibri"/>
                <w:sz w:val="24"/>
              </w:rPr>
              <w:t>27804721</w:t>
            </w:r>
          </w:p>
        </w:tc>
      </w:tr>
    </w:tbl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7E18F6" w:rsidRDefault="007E18F6" w:rsidP="007E18F6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D</w:t>
      </w:r>
      <w:r w:rsidRPr="00F87572">
        <w:rPr>
          <w:rFonts w:asciiTheme="minorHAnsi" w:hAnsiTheme="minorHAnsi" w:cstheme="minorHAnsi"/>
          <w:b/>
          <w:bCs w:val="0"/>
          <w:szCs w:val="20"/>
        </w:rPr>
        <w:t xml:space="preserve">) </w:t>
      </w:r>
      <w:r>
        <w:rPr>
          <w:rFonts w:asciiTheme="minorHAnsi" w:hAnsiTheme="minorHAnsi" w:cstheme="minorHAnsi"/>
          <w:b/>
          <w:bCs w:val="0"/>
          <w:szCs w:val="20"/>
        </w:rPr>
        <w:t>Popis hodnocení</w:t>
      </w:r>
    </w:p>
    <w:p w:rsidR="0038167C" w:rsidRDefault="0038167C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Hodnocené údaje z nabídek</w:t>
      </w:r>
    </w:p>
    <w:p w:rsidR="001B6C89" w:rsidRDefault="001B6C89" w:rsidP="001B6C89">
      <w:pPr>
        <w:tabs>
          <w:tab w:val="left" w:pos="4545"/>
        </w:tabs>
        <w:ind w:left="709"/>
        <w:jc w:val="both"/>
        <w:rPr>
          <w:rFonts w:asciiTheme="minorHAnsi" w:hAnsiTheme="minorHAnsi" w:cstheme="minorHAnsi"/>
          <w:bCs w:val="0"/>
          <w:szCs w:val="20"/>
        </w:rPr>
      </w:pPr>
      <w:r w:rsidRPr="00647C5A">
        <w:rPr>
          <w:rFonts w:asciiTheme="minorHAnsi" w:hAnsiTheme="minorHAnsi" w:cstheme="minorHAnsi"/>
          <w:bCs w:val="0"/>
          <w:szCs w:val="20"/>
        </w:rPr>
        <w:t xml:space="preserve">Dle podmínek zadávací dokumentace </w:t>
      </w:r>
      <w:r>
        <w:rPr>
          <w:rFonts w:asciiTheme="minorHAnsi" w:hAnsiTheme="minorHAnsi" w:cstheme="minorHAnsi"/>
          <w:bCs w:val="0"/>
          <w:szCs w:val="20"/>
        </w:rPr>
        <w:t>je z</w:t>
      </w:r>
      <w:r w:rsidRPr="00F63C8B">
        <w:rPr>
          <w:rFonts w:asciiTheme="minorHAnsi" w:hAnsiTheme="minorHAnsi" w:cstheme="minorHAnsi"/>
          <w:bCs w:val="0"/>
          <w:szCs w:val="20"/>
        </w:rPr>
        <w:t>ákladním kritériem hodnoce</w:t>
      </w:r>
      <w:r>
        <w:rPr>
          <w:rFonts w:asciiTheme="minorHAnsi" w:hAnsiTheme="minorHAnsi" w:cstheme="minorHAnsi"/>
          <w:bCs w:val="0"/>
          <w:szCs w:val="20"/>
        </w:rPr>
        <w:t>ní pro zadání veřejné zakázky</w:t>
      </w:r>
      <w:r w:rsidRPr="00F63C8B">
        <w:rPr>
          <w:rFonts w:asciiTheme="minorHAnsi" w:hAnsiTheme="minorHAnsi" w:cstheme="minorHAnsi"/>
          <w:bCs w:val="0"/>
          <w:szCs w:val="20"/>
        </w:rPr>
        <w:t xml:space="preserve"> ekonomická výhodnos</w:t>
      </w:r>
      <w:r>
        <w:rPr>
          <w:rFonts w:asciiTheme="minorHAnsi" w:hAnsiTheme="minorHAnsi" w:cstheme="minorHAnsi"/>
          <w:bCs w:val="0"/>
          <w:szCs w:val="20"/>
        </w:rPr>
        <w:t>t nabídky dle § 114</w:t>
      </w:r>
      <w:r w:rsidRPr="00F63C8B">
        <w:rPr>
          <w:rFonts w:asciiTheme="minorHAnsi" w:hAnsiTheme="minorHAnsi" w:cstheme="minorHAnsi"/>
          <w:bCs w:val="0"/>
          <w:szCs w:val="20"/>
        </w:rPr>
        <w:t xml:space="preserve"> zákona. Ekonomická výhodnost nabídky </w:t>
      </w:r>
      <w:r>
        <w:rPr>
          <w:rFonts w:asciiTheme="minorHAnsi" w:hAnsiTheme="minorHAnsi" w:cstheme="minorHAnsi"/>
          <w:bCs w:val="0"/>
          <w:szCs w:val="20"/>
        </w:rPr>
        <w:t>bude</w:t>
      </w:r>
      <w:r w:rsidRPr="00F63C8B">
        <w:rPr>
          <w:rFonts w:asciiTheme="minorHAnsi" w:hAnsiTheme="minorHAnsi" w:cstheme="minorHAnsi"/>
          <w:bCs w:val="0"/>
          <w:szCs w:val="20"/>
        </w:rPr>
        <w:t xml:space="preserve"> hodnocena podle nejnižší nabídkové ceny v Kč bez DPH</w:t>
      </w:r>
      <w:r w:rsidRPr="00647C5A">
        <w:rPr>
          <w:rFonts w:asciiTheme="minorHAnsi" w:hAnsiTheme="minorHAnsi" w:cstheme="minorHAnsi"/>
          <w:bCs w:val="0"/>
          <w:szCs w:val="20"/>
        </w:rPr>
        <w:t>.</w:t>
      </w:r>
    </w:p>
    <w:p w:rsidR="001B6C89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hodnocení údajů z nabídek</w:t>
      </w:r>
    </w:p>
    <w:p w:rsidR="001B6C89" w:rsidRPr="00647C5A" w:rsidRDefault="001B6C89" w:rsidP="001B6C89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bCs w:val="0"/>
        </w:rPr>
      </w:pPr>
      <w:r w:rsidRPr="00647C5A">
        <w:rPr>
          <w:rFonts w:asciiTheme="minorHAnsi" w:hAnsiTheme="minorHAnsi" w:cstheme="minorHAnsi"/>
          <w:bCs w:val="0"/>
          <w:szCs w:val="20"/>
        </w:rPr>
        <w:tab/>
        <w:t xml:space="preserve">Jedná </w:t>
      </w:r>
      <w:r>
        <w:rPr>
          <w:rFonts w:asciiTheme="minorHAnsi" w:hAnsiTheme="minorHAnsi" w:cstheme="minorHAnsi"/>
          <w:bCs w:val="0"/>
          <w:szCs w:val="20"/>
        </w:rPr>
        <w:t>se o prostou číselnou hodnotu celkové nabídkové ceny bez DPH, přičemž právě z</w:t>
      </w:r>
      <w:r w:rsidRPr="00647C5A">
        <w:rPr>
          <w:rFonts w:asciiTheme="minorHAnsi" w:hAnsiTheme="minorHAnsi" w:cstheme="minorHAnsi"/>
        </w:rPr>
        <w:t>ákladním a jediným hodnotícím kritériem pro zadání veřejné zakázky je nejnižší nabídková cena</w:t>
      </w:r>
      <w:r>
        <w:rPr>
          <w:rFonts w:asciiTheme="minorHAnsi" w:hAnsiTheme="minorHAnsi" w:cstheme="minorHAnsi"/>
        </w:rPr>
        <w:t xml:space="preserve"> bez</w:t>
      </w:r>
      <w:r w:rsidRPr="00647C5A">
        <w:rPr>
          <w:rFonts w:asciiTheme="minorHAnsi" w:hAnsiTheme="minorHAnsi" w:cstheme="minorHAnsi"/>
        </w:rPr>
        <w:t xml:space="preserve"> DPH.</w:t>
      </w:r>
    </w:p>
    <w:p w:rsidR="001B6C89" w:rsidRPr="00647C5A" w:rsidRDefault="001B6C89" w:rsidP="001B6C89">
      <w:pPr>
        <w:tabs>
          <w:tab w:val="left" w:pos="709"/>
        </w:tabs>
        <w:jc w:val="both"/>
        <w:rPr>
          <w:rFonts w:asciiTheme="minorHAnsi" w:hAnsiTheme="minorHAnsi" w:cstheme="minorHAnsi"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srovnání hodnot získaných při hodnocení</w:t>
      </w:r>
    </w:p>
    <w:p w:rsidR="001B6C89" w:rsidRPr="003D7AE1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D7AE1">
        <w:rPr>
          <w:rFonts w:asciiTheme="minorHAnsi" w:hAnsiTheme="minorHAnsi" w:cstheme="minorHAnsi"/>
        </w:rPr>
        <w:t>Hodnocení nabídek bude provedeno podle jediného (základního) hodnotícího kritéria, kter</w:t>
      </w:r>
      <w:r>
        <w:rPr>
          <w:rFonts w:asciiTheme="minorHAnsi" w:hAnsiTheme="minorHAnsi" w:cstheme="minorHAnsi"/>
        </w:rPr>
        <w:t xml:space="preserve">ým je nejnižší nabídková cena bez </w:t>
      </w:r>
      <w:r w:rsidRPr="003D7AE1">
        <w:rPr>
          <w:rFonts w:asciiTheme="minorHAnsi" w:hAnsiTheme="minorHAnsi" w:cstheme="minorHAnsi"/>
        </w:rPr>
        <w:t xml:space="preserve">DPH. Nabídky budou hodnoceny tak, že podle výše nabídkové ceny </w:t>
      </w:r>
      <w:r>
        <w:rPr>
          <w:rFonts w:asciiTheme="minorHAnsi" w:hAnsiTheme="minorHAnsi" w:cstheme="minorHAnsi"/>
        </w:rPr>
        <w:t>bez</w:t>
      </w:r>
      <w:r w:rsidRPr="003D7AE1">
        <w:rPr>
          <w:rFonts w:asciiTheme="minorHAnsi" w:hAnsiTheme="minorHAnsi" w:cstheme="minorHAnsi"/>
        </w:rPr>
        <w:t xml:space="preserve"> DPH hodnotící komise sestaví pořadí nabídek. Jako nejvhodnější bude vybrána nabídka s nejnižší nabídkovou cenou. Další pořadí bude stanoveno dle skutečně nabízených cen vzestupně.</w:t>
      </w:r>
    </w:p>
    <w:p w:rsidR="001B6C89" w:rsidRDefault="001B6C89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lastRenderedPageBreak/>
        <w:t xml:space="preserve">Výsledek hodnocení </w:t>
      </w:r>
    </w:p>
    <w:p w:rsidR="001B6C89" w:rsidRPr="00593A35" w:rsidRDefault="001B6C89" w:rsidP="001B6C89">
      <w:pPr>
        <w:widowControl w:val="0"/>
        <w:autoSpaceDE w:val="0"/>
        <w:autoSpaceDN w:val="0"/>
        <w:adjustRightInd w:val="0"/>
        <w:ind w:firstLine="708"/>
        <w:rPr>
          <w:rFonts w:asciiTheme="minorHAnsi" w:hAnsiTheme="minorHAnsi" w:cstheme="minorHAnsi"/>
          <w:szCs w:val="20"/>
        </w:rPr>
      </w:pPr>
      <w:r w:rsidRPr="00593A35">
        <w:rPr>
          <w:rFonts w:asciiTheme="minorHAnsi" w:hAnsiTheme="minorHAnsi" w:cstheme="minorHAnsi"/>
          <w:szCs w:val="20"/>
        </w:rPr>
        <w:t>Na základě výše popsaného způsobu hodnocení byly nabídky ohodnoceny následovně: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0" w:type="auto"/>
        <w:tblLook w:val="04A0"/>
      </w:tblPr>
      <w:tblGrid>
        <w:gridCol w:w="1242"/>
        <w:gridCol w:w="4395"/>
        <w:gridCol w:w="2693"/>
        <w:gridCol w:w="958"/>
      </w:tblGrid>
      <w:tr w:rsidR="007E18F6" w:rsidTr="00AD7A1B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4395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693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Cena bez DPH v Kč</w:t>
            </w:r>
          </w:p>
        </w:tc>
        <w:tc>
          <w:tcPr>
            <w:tcW w:w="958" w:type="dxa"/>
          </w:tcPr>
          <w:p w:rsidR="007E18F6" w:rsidRDefault="006B20EB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7E18F6">
              <w:rPr>
                <w:rFonts w:asciiTheme="minorHAnsi" w:hAnsiTheme="minorHAnsi" w:cstheme="minorHAnsi"/>
                <w:sz w:val="24"/>
              </w:rPr>
              <w:t>ořadí</w:t>
            </w:r>
          </w:p>
        </w:tc>
      </w:tr>
      <w:tr w:rsidR="00726E2C" w:rsidTr="00AD7A1B">
        <w:tc>
          <w:tcPr>
            <w:tcW w:w="1242" w:type="dxa"/>
          </w:tcPr>
          <w:p w:rsidR="00726E2C" w:rsidRDefault="00726E2C" w:rsidP="00726E2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4395" w:type="dxa"/>
          </w:tcPr>
          <w:p w:rsidR="00726E2C" w:rsidRPr="00E136D5" w:rsidRDefault="00083DF6" w:rsidP="00726E2C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316FF0">
              <w:rPr>
                <w:rFonts w:ascii="Calibri" w:eastAsia="Times New Roman" w:hAnsi="Calibri" w:cs="Calibri"/>
                <w:sz w:val="24"/>
              </w:rPr>
              <w:t xml:space="preserve">LAMBERGA </w:t>
            </w:r>
            <w:r w:rsidRPr="00726E2C">
              <w:rPr>
                <w:rFonts w:ascii="Calibri" w:eastAsia="Times New Roman" w:hAnsi="Calibri" w:cs="Calibri"/>
                <w:sz w:val="24"/>
              </w:rPr>
              <w:t xml:space="preserve">s.r.o.   </w:t>
            </w:r>
          </w:p>
        </w:tc>
        <w:tc>
          <w:tcPr>
            <w:tcW w:w="2693" w:type="dxa"/>
          </w:tcPr>
          <w:p w:rsidR="00726E2C" w:rsidRDefault="00083DF6" w:rsidP="00726E2C">
            <w:pPr>
              <w:rPr>
                <w:rFonts w:asciiTheme="minorHAnsi" w:hAnsiTheme="minorHAnsi" w:cstheme="minorHAnsi"/>
                <w:sz w:val="24"/>
              </w:rPr>
            </w:pPr>
            <w:r w:rsidRPr="00083DF6">
              <w:rPr>
                <w:rFonts w:ascii="Calibri" w:eastAsia="Times New Roman" w:hAnsi="Calibri" w:cs="Calibri"/>
                <w:sz w:val="24"/>
              </w:rPr>
              <w:t>12 430 000</w:t>
            </w:r>
            <w:r w:rsidR="00726E2C">
              <w:rPr>
                <w:rFonts w:ascii="Calibri" w:hAnsi="Calibri"/>
                <w:sz w:val="24"/>
              </w:rPr>
              <w:t>,-</w:t>
            </w:r>
          </w:p>
        </w:tc>
        <w:tc>
          <w:tcPr>
            <w:tcW w:w="958" w:type="dxa"/>
          </w:tcPr>
          <w:p w:rsidR="00726E2C" w:rsidRPr="00726E2C" w:rsidRDefault="00083DF6" w:rsidP="00726E2C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>2</w:t>
            </w:r>
          </w:p>
        </w:tc>
      </w:tr>
      <w:tr w:rsidR="00726E2C" w:rsidTr="00AD7A1B">
        <w:tc>
          <w:tcPr>
            <w:tcW w:w="1242" w:type="dxa"/>
          </w:tcPr>
          <w:p w:rsidR="00726E2C" w:rsidRDefault="00726E2C" w:rsidP="00726E2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4395" w:type="dxa"/>
          </w:tcPr>
          <w:p w:rsidR="00726E2C" w:rsidRPr="00A10DCC" w:rsidRDefault="00726E2C" w:rsidP="00726E2C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693" w:type="dxa"/>
          </w:tcPr>
          <w:p w:rsidR="00726E2C" w:rsidRPr="00726E2C" w:rsidRDefault="00316FF0" w:rsidP="00726E2C">
            <w:pPr>
              <w:rPr>
                <w:rFonts w:ascii="Calibri" w:eastAsia="Times New Roman" w:hAnsi="Calibri" w:cs="Calibri"/>
                <w:sz w:val="24"/>
              </w:rPr>
            </w:pPr>
            <w:r w:rsidRPr="00316FF0">
              <w:rPr>
                <w:rFonts w:ascii="Calibri" w:eastAsia="Times New Roman" w:hAnsi="Calibri" w:cs="Calibri"/>
                <w:sz w:val="24"/>
              </w:rPr>
              <w:t>11 908 523,42</w:t>
            </w:r>
          </w:p>
        </w:tc>
        <w:tc>
          <w:tcPr>
            <w:tcW w:w="958" w:type="dxa"/>
          </w:tcPr>
          <w:p w:rsidR="00726E2C" w:rsidRPr="00726E2C" w:rsidRDefault="00316FF0" w:rsidP="00726E2C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1</w:t>
            </w:r>
          </w:p>
        </w:tc>
      </w:tr>
    </w:tbl>
    <w:p w:rsidR="0038167C" w:rsidRPr="001B6C89" w:rsidRDefault="00E2618E" w:rsidP="001B6C89">
      <w:pPr>
        <w:jc w:val="both"/>
        <w:rPr>
          <w:rFonts w:asciiTheme="minorHAnsi" w:hAnsiTheme="minorHAnsi" w:cstheme="minorHAnsi"/>
          <w:szCs w:val="20"/>
        </w:rPr>
      </w:pPr>
      <w:r w:rsidRPr="00E2618E">
        <w:rPr>
          <w:rFonts w:asciiTheme="minorHAnsi" w:hAnsiTheme="minorHAnsi" w:cstheme="minorHAnsi"/>
          <w:szCs w:val="20"/>
        </w:rPr>
        <w:t xml:space="preserve">Komise </w:t>
      </w:r>
      <w:r w:rsidR="006B0924">
        <w:rPr>
          <w:rFonts w:asciiTheme="minorHAnsi" w:hAnsiTheme="minorHAnsi" w:cstheme="minorHAnsi"/>
          <w:szCs w:val="20"/>
        </w:rPr>
        <w:t xml:space="preserve">na základě provedeného hodnocení nabídek </w:t>
      </w:r>
      <w:r w:rsidRPr="00E2618E">
        <w:rPr>
          <w:rFonts w:asciiTheme="minorHAnsi" w:hAnsiTheme="minorHAnsi" w:cstheme="minorHAnsi"/>
          <w:szCs w:val="20"/>
        </w:rPr>
        <w:t>konstatovala</w:t>
      </w:r>
      <w:r w:rsidR="007E18F6" w:rsidRPr="001B6C89">
        <w:rPr>
          <w:rFonts w:asciiTheme="minorHAnsi" w:hAnsiTheme="minorHAnsi" w:cstheme="minorHAnsi"/>
          <w:szCs w:val="20"/>
        </w:rPr>
        <w:t xml:space="preserve">, že ekonomicky nejvýhodnější nabídku podal </w:t>
      </w:r>
      <w:r w:rsidR="00726E2C">
        <w:rPr>
          <w:rFonts w:asciiTheme="minorHAnsi" w:hAnsiTheme="minorHAnsi" w:cstheme="minorHAnsi"/>
          <w:b/>
          <w:szCs w:val="20"/>
        </w:rPr>
        <w:t xml:space="preserve">účastník s nabídkou č. </w:t>
      </w:r>
      <w:r w:rsidR="00083DF6">
        <w:rPr>
          <w:rFonts w:asciiTheme="minorHAnsi" w:hAnsiTheme="minorHAnsi" w:cstheme="minorHAnsi"/>
          <w:b/>
          <w:szCs w:val="20"/>
        </w:rPr>
        <w:t>2</w:t>
      </w:r>
      <w:r w:rsidR="007E18F6" w:rsidRPr="006B1F58">
        <w:rPr>
          <w:rFonts w:asciiTheme="minorHAnsi" w:hAnsiTheme="minorHAnsi" w:cstheme="minorHAnsi"/>
          <w:b/>
          <w:szCs w:val="20"/>
        </w:rPr>
        <w:t xml:space="preserve"> </w:t>
      </w:r>
      <w:r w:rsidR="00083DF6" w:rsidRPr="00083DF6">
        <w:rPr>
          <w:rFonts w:asciiTheme="minorHAnsi" w:hAnsiTheme="minorHAnsi" w:cstheme="minorHAnsi"/>
          <w:b/>
          <w:szCs w:val="20"/>
        </w:rPr>
        <w:t>ČEZ Energetické služby, s.r.o.</w:t>
      </w:r>
      <w:r w:rsidR="00726E2C">
        <w:rPr>
          <w:rFonts w:asciiTheme="minorHAnsi" w:hAnsiTheme="minorHAnsi" w:cstheme="minorHAnsi"/>
          <w:szCs w:val="20"/>
        </w:rPr>
        <w:t xml:space="preserve">, </w:t>
      </w:r>
      <w:r w:rsidR="007E18F6" w:rsidRPr="001B6C89">
        <w:rPr>
          <w:rFonts w:asciiTheme="minorHAnsi" w:hAnsiTheme="minorHAnsi" w:cstheme="minorHAnsi"/>
          <w:szCs w:val="20"/>
        </w:rPr>
        <w:t xml:space="preserve">se sídlem </w:t>
      </w:r>
      <w:r w:rsidR="00083DF6" w:rsidRPr="00083DF6">
        <w:rPr>
          <w:rFonts w:asciiTheme="minorHAnsi" w:hAnsiTheme="minorHAnsi" w:cstheme="minorHAnsi"/>
          <w:szCs w:val="20"/>
        </w:rPr>
        <w:t>Výstavní 1144/103, 703 00, Ostrava - Vítkovice</w:t>
      </w:r>
      <w:r w:rsidR="007E18F6" w:rsidRPr="001B6C89">
        <w:rPr>
          <w:rFonts w:asciiTheme="minorHAnsi" w:hAnsiTheme="minorHAnsi" w:cstheme="minorHAnsi"/>
          <w:szCs w:val="20"/>
        </w:rPr>
        <w:t xml:space="preserve">, IČ: </w:t>
      </w:r>
      <w:r w:rsidR="00083DF6" w:rsidRPr="00083DF6">
        <w:rPr>
          <w:rFonts w:asciiTheme="minorHAnsi" w:hAnsiTheme="minorHAnsi" w:cstheme="minorHAnsi"/>
          <w:szCs w:val="20"/>
        </w:rPr>
        <w:t>27804721</w:t>
      </w:r>
      <w:r w:rsidR="007E18F6" w:rsidRPr="001B6C89">
        <w:rPr>
          <w:rFonts w:asciiTheme="minorHAnsi" w:hAnsiTheme="minorHAnsi" w:cstheme="minorHAnsi"/>
          <w:szCs w:val="20"/>
        </w:rPr>
        <w:t>,</w:t>
      </w:r>
      <w:r w:rsidR="001B6C89" w:rsidRPr="001B6C89">
        <w:rPr>
          <w:rFonts w:asciiTheme="minorHAnsi" w:hAnsiTheme="minorHAnsi" w:cstheme="minorHAnsi"/>
          <w:szCs w:val="20"/>
        </w:rPr>
        <w:t xml:space="preserve"> za nabídkovou cenu </w:t>
      </w:r>
      <w:r w:rsidR="00083DF6" w:rsidRPr="00083DF6">
        <w:rPr>
          <w:rFonts w:asciiTheme="minorHAnsi" w:hAnsiTheme="minorHAnsi" w:cstheme="minorHAnsi"/>
          <w:szCs w:val="20"/>
        </w:rPr>
        <w:t>11 908 523,42</w:t>
      </w:r>
      <w:r w:rsidR="001B6C89" w:rsidRPr="001B6C89">
        <w:rPr>
          <w:rFonts w:asciiTheme="minorHAnsi" w:hAnsiTheme="minorHAnsi" w:cstheme="minorHAnsi"/>
          <w:szCs w:val="20"/>
        </w:rPr>
        <w:t xml:space="preserve">,- Kč bez DPH, tj. </w:t>
      </w:r>
      <w:r w:rsidR="00083DF6" w:rsidRPr="00083DF6">
        <w:rPr>
          <w:rFonts w:asciiTheme="minorHAnsi" w:hAnsiTheme="minorHAnsi" w:cstheme="minorHAnsi"/>
          <w:szCs w:val="20"/>
        </w:rPr>
        <w:t xml:space="preserve">14 409 313,34 </w:t>
      </w:r>
      <w:r w:rsidR="001B6C89" w:rsidRPr="001B6C89">
        <w:rPr>
          <w:rFonts w:asciiTheme="minorHAnsi" w:hAnsiTheme="minorHAnsi" w:cstheme="minorHAnsi"/>
          <w:szCs w:val="20"/>
        </w:rPr>
        <w:t>Kč vč. DPH</w:t>
      </w:r>
      <w:r w:rsidR="006B0924">
        <w:rPr>
          <w:rFonts w:asciiTheme="minorHAnsi" w:hAnsiTheme="minorHAnsi" w:cstheme="minorHAnsi"/>
          <w:szCs w:val="20"/>
        </w:rPr>
        <w:t>.</w:t>
      </w:r>
    </w:p>
    <w:p w:rsidR="00FF4F3A" w:rsidRDefault="00FF4F3A" w:rsidP="001B6C89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Konstatuje se, že účastník</w:t>
      </w:r>
      <w:r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b/>
          <w:szCs w:val="20"/>
        </w:rPr>
        <w:t xml:space="preserve">s nabídkou č. </w:t>
      </w:r>
      <w:r w:rsidR="00083DF6" w:rsidRPr="00083DF6">
        <w:rPr>
          <w:rFonts w:asciiTheme="minorHAnsi" w:hAnsiTheme="minorHAnsi" w:cstheme="minorHAnsi"/>
          <w:b/>
          <w:szCs w:val="20"/>
        </w:rPr>
        <w:t>2 ČEZ Energetické služby, s.r.o.</w:t>
      </w:r>
      <w:r>
        <w:rPr>
          <w:rFonts w:asciiTheme="minorHAnsi" w:hAnsiTheme="minorHAnsi" w:cstheme="minorHAnsi"/>
          <w:szCs w:val="20"/>
        </w:rPr>
        <w:t xml:space="preserve">, </w:t>
      </w:r>
      <w:r w:rsidRPr="001B6C89">
        <w:rPr>
          <w:rFonts w:asciiTheme="minorHAnsi" w:hAnsiTheme="minorHAnsi" w:cstheme="minorHAnsi"/>
          <w:szCs w:val="20"/>
        </w:rPr>
        <w:t xml:space="preserve">se </w:t>
      </w:r>
      <w:r w:rsidR="00083DF6" w:rsidRPr="00083DF6">
        <w:rPr>
          <w:rFonts w:asciiTheme="minorHAnsi" w:hAnsiTheme="minorHAnsi" w:cstheme="minorHAnsi"/>
          <w:szCs w:val="20"/>
        </w:rPr>
        <w:t>Výstavní 1144/103, 703 00, Ostrava - Vítkovice</w:t>
      </w:r>
      <w:r w:rsidR="00083DF6" w:rsidRPr="001B6C89">
        <w:rPr>
          <w:rFonts w:asciiTheme="minorHAnsi" w:hAnsiTheme="minorHAnsi" w:cstheme="minorHAnsi"/>
          <w:szCs w:val="20"/>
        </w:rPr>
        <w:t xml:space="preserve">, IČ: </w:t>
      </w:r>
      <w:r w:rsidR="00083DF6" w:rsidRPr="00083DF6">
        <w:rPr>
          <w:rFonts w:asciiTheme="minorHAnsi" w:hAnsiTheme="minorHAnsi" w:cstheme="minorHAnsi"/>
          <w:szCs w:val="20"/>
        </w:rPr>
        <w:t>27804721</w:t>
      </w:r>
      <w:r w:rsidRPr="00726E2C">
        <w:rPr>
          <w:rFonts w:asciiTheme="minorHAnsi" w:hAnsiTheme="minorHAnsi" w:cstheme="minorHAnsi"/>
          <w:szCs w:val="20"/>
        </w:rPr>
        <w:t>, jehož nabídka byla vyhodnocena jako nejúspěšnější, nemá formu akciové společnosti ani obdobnou právní formu.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A32567" w:rsidRDefault="00A32567" w:rsidP="00083D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083DF6" w:rsidRDefault="00083DF6" w:rsidP="00083D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Posouzení </w:t>
      </w:r>
      <w:r w:rsidRPr="00030806">
        <w:rPr>
          <w:rFonts w:asciiTheme="minorHAnsi" w:hAnsiTheme="minorHAnsi" w:cstheme="minorHAnsi"/>
          <w:b/>
          <w:sz w:val="24"/>
        </w:rPr>
        <w:t>nabídek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Komise se shodla, že pro posouzení </w:t>
      </w:r>
      <w:r w:rsidR="00A32567">
        <w:rPr>
          <w:rFonts w:asciiTheme="minorHAnsi" w:hAnsiTheme="minorHAnsi" w:cstheme="minorHAnsi"/>
          <w:szCs w:val="20"/>
        </w:rPr>
        <w:t xml:space="preserve">technických parametrů nabídek si od obou účastníků zadávacího řízení vyžádá </w:t>
      </w:r>
      <w:r w:rsidR="00A32567" w:rsidRPr="00E60CDC">
        <w:rPr>
          <w:rFonts w:asciiTheme="minorHAnsi" w:hAnsiTheme="minorHAnsi" w:cstheme="minorHAnsi"/>
          <w:szCs w:val="20"/>
        </w:rPr>
        <w:t>„V</w:t>
      </w:r>
      <w:r w:rsidR="00A32567">
        <w:rPr>
          <w:rFonts w:asciiTheme="minorHAnsi" w:hAnsiTheme="minorHAnsi" w:cstheme="minorHAnsi"/>
          <w:szCs w:val="20"/>
        </w:rPr>
        <w:t>zorek LED svítidla pro úsek č. 1</w:t>
      </w:r>
      <w:r w:rsidR="00A32567" w:rsidRPr="00E60CDC">
        <w:rPr>
          <w:rFonts w:asciiTheme="minorHAnsi" w:hAnsiTheme="minorHAnsi" w:cstheme="minorHAnsi"/>
          <w:szCs w:val="20"/>
        </w:rPr>
        <w:t>“</w:t>
      </w:r>
      <w:r w:rsidR="00A32567">
        <w:rPr>
          <w:rFonts w:asciiTheme="minorHAnsi" w:hAnsiTheme="minorHAnsi" w:cstheme="minorHAnsi"/>
          <w:szCs w:val="20"/>
        </w:rPr>
        <w:t>.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A32567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 xml:space="preserve">Další jednání komise se uskuteční </w:t>
      </w:r>
      <w:r w:rsidR="00A32567">
        <w:rPr>
          <w:rFonts w:asciiTheme="minorHAnsi" w:hAnsiTheme="minorHAnsi" w:cstheme="minorHAnsi"/>
          <w:szCs w:val="20"/>
        </w:rPr>
        <w:t xml:space="preserve">po obdržení vzorků LED svítidla. </w:t>
      </w:r>
    </w:p>
    <w:p w:rsidR="00726E2C" w:rsidRP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Na důkaz souhlasu s tímto protokolem připojují přítomní členové komise resp. jejich přítomní náhradníci své podpisy níže.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 xml:space="preserve">V </w:t>
      </w:r>
      <w:r w:rsidR="00A32567">
        <w:rPr>
          <w:rFonts w:asciiTheme="minorHAnsi" w:hAnsiTheme="minorHAnsi" w:cstheme="minorHAnsi"/>
          <w:szCs w:val="20"/>
        </w:rPr>
        <w:t>Chrudimi</w:t>
      </w:r>
      <w:r w:rsidRPr="00726E2C">
        <w:rPr>
          <w:rFonts w:asciiTheme="minorHAnsi" w:hAnsiTheme="minorHAnsi" w:cstheme="minorHAnsi"/>
          <w:szCs w:val="20"/>
        </w:rPr>
        <w:t xml:space="preserve">, dne </w:t>
      </w:r>
      <w:r w:rsidR="00A32567">
        <w:rPr>
          <w:rFonts w:asciiTheme="minorHAnsi" w:hAnsiTheme="minorHAnsi" w:cstheme="minorHAnsi"/>
          <w:szCs w:val="20"/>
        </w:rPr>
        <w:t>10</w:t>
      </w:r>
      <w:r w:rsidRPr="00726E2C">
        <w:rPr>
          <w:rFonts w:asciiTheme="minorHAnsi" w:hAnsiTheme="minorHAnsi" w:cstheme="minorHAnsi"/>
          <w:szCs w:val="20"/>
        </w:rPr>
        <w:t xml:space="preserve">. </w:t>
      </w:r>
      <w:r w:rsidR="00A32567">
        <w:rPr>
          <w:rFonts w:asciiTheme="minorHAnsi" w:hAnsiTheme="minorHAnsi" w:cstheme="minorHAnsi"/>
          <w:szCs w:val="20"/>
        </w:rPr>
        <w:t>7</w:t>
      </w:r>
      <w:r w:rsidRPr="00726E2C">
        <w:rPr>
          <w:rFonts w:asciiTheme="minorHAnsi" w:hAnsiTheme="minorHAnsi" w:cstheme="minorHAnsi"/>
          <w:szCs w:val="20"/>
        </w:rPr>
        <w:t>. 2023</w:t>
      </w:r>
      <w:r w:rsidRPr="00726E2C">
        <w:rPr>
          <w:rFonts w:asciiTheme="minorHAnsi" w:hAnsiTheme="minorHAnsi" w:cstheme="minorHAnsi"/>
          <w:szCs w:val="20"/>
        </w:rPr>
        <w:tab/>
      </w:r>
      <w:r w:rsidRPr="00726E2C">
        <w:rPr>
          <w:rFonts w:asciiTheme="minorHAnsi" w:hAnsiTheme="minorHAnsi" w:cstheme="minorHAnsi"/>
          <w:szCs w:val="20"/>
        </w:rPr>
        <w:tab/>
      </w:r>
    </w:p>
    <w:p w:rsidR="00726E2C" w:rsidRPr="00E90442" w:rsidRDefault="00726E2C" w:rsidP="00726E2C">
      <w:pPr>
        <w:jc w:val="both"/>
        <w:outlineLvl w:val="0"/>
        <w:rPr>
          <w:rFonts w:asciiTheme="minorHAnsi" w:hAnsiTheme="minorHAnsi" w:cstheme="minorHAnsi"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4110"/>
      </w:tblGrid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A32567" w:rsidRPr="00E90442" w:rsidTr="00C44451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Ing. Aleš </w:t>
            </w:r>
            <w:proofErr w:type="spellStart"/>
            <w:r w:rsidRPr="00E46F6A">
              <w:t>Nunvář</w:t>
            </w:r>
            <w:proofErr w:type="spellEnd"/>
            <w:r w:rsidRPr="00E46F6A">
              <w:t xml:space="preserve">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Soběslav Dušek,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Tomáš Vápeník, Odbor investic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David </w:t>
            </w:r>
            <w:proofErr w:type="spellStart"/>
            <w:r w:rsidRPr="00E46F6A">
              <w:t>Chudomský</w:t>
            </w:r>
            <w:proofErr w:type="spellEnd"/>
            <w:r w:rsidRPr="00E46F6A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Dana </w:t>
            </w:r>
            <w:proofErr w:type="spellStart"/>
            <w:r w:rsidRPr="00143DD9">
              <w:t>Šmoková</w:t>
            </w:r>
            <w:proofErr w:type="spellEnd"/>
            <w:r w:rsidRPr="00143DD9">
              <w:t>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Emil </w:t>
            </w:r>
            <w:proofErr w:type="spellStart"/>
            <w:r w:rsidRPr="00143DD9">
              <w:t>Melnik</w:t>
            </w:r>
            <w:proofErr w:type="spellEnd"/>
            <w:r w:rsidRPr="00143DD9">
              <w:t>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Hana </w:t>
            </w:r>
            <w:proofErr w:type="spellStart"/>
            <w:r w:rsidRPr="00143DD9">
              <w:t>Luptáková</w:t>
            </w:r>
            <w:proofErr w:type="spellEnd"/>
            <w:r w:rsidRPr="00143DD9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sectPr w:rsidR="00726E2C" w:rsidSect="004A74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B8" w:rsidRDefault="00F522B8" w:rsidP="007C01A5">
      <w:r>
        <w:separator/>
      </w:r>
    </w:p>
  </w:endnote>
  <w:endnote w:type="continuationSeparator" w:id="0">
    <w:p w:rsidR="00F522B8" w:rsidRDefault="00F522B8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B8" w:rsidRDefault="00F522B8" w:rsidP="007C01A5">
      <w:r>
        <w:separator/>
      </w:r>
    </w:p>
  </w:footnote>
  <w:footnote w:type="continuationSeparator" w:id="0">
    <w:p w:rsidR="00F522B8" w:rsidRDefault="00F522B8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2"/>
      <w:gridCol w:w="2890"/>
      <w:gridCol w:w="2786"/>
    </w:tblGrid>
    <w:tr w:rsidR="004C10C1" w:rsidTr="0064562B">
      <w:tc>
        <w:tcPr>
          <w:tcW w:w="3070" w:type="dxa"/>
        </w:tcPr>
        <w:p w:rsidR="004C10C1" w:rsidRDefault="003F1A56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3F1A56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3F1A56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  <w:p w:rsidR="002E4DE9" w:rsidRDefault="002E4DE9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:rsidR="002E4DE9" w:rsidRDefault="002E4DE9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A5626"/>
    <w:multiLevelType w:val="hybridMultilevel"/>
    <w:tmpl w:val="F0DE0FA8"/>
    <w:lvl w:ilvl="0" w:tplc="BA12DA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C9D"/>
    <w:multiLevelType w:val="hybridMultilevel"/>
    <w:tmpl w:val="47863220"/>
    <w:lvl w:ilvl="0" w:tplc="E290658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14005"/>
    <w:rsid w:val="00033844"/>
    <w:rsid w:val="00035007"/>
    <w:rsid w:val="000428D2"/>
    <w:rsid w:val="00054D1B"/>
    <w:rsid w:val="00083DF6"/>
    <w:rsid w:val="000A0369"/>
    <w:rsid w:val="000A2567"/>
    <w:rsid w:val="000B489D"/>
    <w:rsid w:val="000B5FAE"/>
    <w:rsid w:val="000D1E15"/>
    <w:rsid w:val="00134E9F"/>
    <w:rsid w:val="00161BCA"/>
    <w:rsid w:val="00163710"/>
    <w:rsid w:val="0018572C"/>
    <w:rsid w:val="001A2B5E"/>
    <w:rsid w:val="001B09B1"/>
    <w:rsid w:val="001B1704"/>
    <w:rsid w:val="001B6C89"/>
    <w:rsid w:val="001C7D6E"/>
    <w:rsid w:val="001C7E3D"/>
    <w:rsid w:val="001E2F23"/>
    <w:rsid w:val="002107C2"/>
    <w:rsid w:val="0021280C"/>
    <w:rsid w:val="00241455"/>
    <w:rsid w:val="00243CA7"/>
    <w:rsid w:val="0025528D"/>
    <w:rsid w:val="00255FEA"/>
    <w:rsid w:val="00274DA2"/>
    <w:rsid w:val="002835C6"/>
    <w:rsid w:val="002959A5"/>
    <w:rsid w:val="002A4EB9"/>
    <w:rsid w:val="002C0F06"/>
    <w:rsid w:val="002E4DE9"/>
    <w:rsid w:val="002E6ED3"/>
    <w:rsid w:val="00303A33"/>
    <w:rsid w:val="00306051"/>
    <w:rsid w:val="00316FF0"/>
    <w:rsid w:val="00343128"/>
    <w:rsid w:val="00371D93"/>
    <w:rsid w:val="0038167C"/>
    <w:rsid w:val="00382FF5"/>
    <w:rsid w:val="00387652"/>
    <w:rsid w:val="00391BE0"/>
    <w:rsid w:val="0039482A"/>
    <w:rsid w:val="003C10E8"/>
    <w:rsid w:val="003C133E"/>
    <w:rsid w:val="003F1A56"/>
    <w:rsid w:val="003F2C2C"/>
    <w:rsid w:val="003F58A5"/>
    <w:rsid w:val="00405DB9"/>
    <w:rsid w:val="00406A22"/>
    <w:rsid w:val="00410C71"/>
    <w:rsid w:val="00420F3A"/>
    <w:rsid w:val="00450AC5"/>
    <w:rsid w:val="00472CDB"/>
    <w:rsid w:val="004A0526"/>
    <w:rsid w:val="004A748A"/>
    <w:rsid w:val="004C10C1"/>
    <w:rsid w:val="004C1A50"/>
    <w:rsid w:val="004C28CA"/>
    <w:rsid w:val="004C5CB3"/>
    <w:rsid w:val="00505FCA"/>
    <w:rsid w:val="00544128"/>
    <w:rsid w:val="00567767"/>
    <w:rsid w:val="00567F8D"/>
    <w:rsid w:val="00597CFF"/>
    <w:rsid w:val="005C1C75"/>
    <w:rsid w:val="005D1592"/>
    <w:rsid w:val="005E1710"/>
    <w:rsid w:val="005E6743"/>
    <w:rsid w:val="005F7B54"/>
    <w:rsid w:val="0060450C"/>
    <w:rsid w:val="00604D5C"/>
    <w:rsid w:val="00612DF7"/>
    <w:rsid w:val="00621C02"/>
    <w:rsid w:val="00625421"/>
    <w:rsid w:val="00656B64"/>
    <w:rsid w:val="0068190F"/>
    <w:rsid w:val="0068376E"/>
    <w:rsid w:val="006B0520"/>
    <w:rsid w:val="006B0924"/>
    <w:rsid w:val="006B1F58"/>
    <w:rsid w:val="006B20EB"/>
    <w:rsid w:val="006B34C3"/>
    <w:rsid w:val="006B5FE1"/>
    <w:rsid w:val="006C5487"/>
    <w:rsid w:val="006D222D"/>
    <w:rsid w:val="006D39F3"/>
    <w:rsid w:val="006F12ED"/>
    <w:rsid w:val="00711E4C"/>
    <w:rsid w:val="00726E2C"/>
    <w:rsid w:val="00734E75"/>
    <w:rsid w:val="00772FA8"/>
    <w:rsid w:val="007A1BE9"/>
    <w:rsid w:val="007B10CA"/>
    <w:rsid w:val="007C01A5"/>
    <w:rsid w:val="007E18F6"/>
    <w:rsid w:val="00821DD9"/>
    <w:rsid w:val="00823A31"/>
    <w:rsid w:val="00824299"/>
    <w:rsid w:val="00835C33"/>
    <w:rsid w:val="008525B4"/>
    <w:rsid w:val="00863D13"/>
    <w:rsid w:val="008A5AF9"/>
    <w:rsid w:val="008B5E22"/>
    <w:rsid w:val="008C38CD"/>
    <w:rsid w:val="008E6C2D"/>
    <w:rsid w:val="0090587B"/>
    <w:rsid w:val="00911E9F"/>
    <w:rsid w:val="0091373C"/>
    <w:rsid w:val="00914EF4"/>
    <w:rsid w:val="00941BE9"/>
    <w:rsid w:val="00943432"/>
    <w:rsid w:val="00944BCE"/>
    <w:rsid w:val="009548E7"/>
    <w:rsid w:val="009568F6"/>
    <w:rsid w:val="009612F2"/>
    <w:rsid w:val="009664DC"/>
    <w:rsid w:val="00986639"/>
    <w:rsid w:val="00987F8B"/>
    <w:rsid w:val="009A18D5"/>
    <w:rsid w:val="009A32D7"/>
    <w:rsid w:val="009C0390"/>
    <w:rsid w:val="009C3B17"/>
    <w:rsid w:val="009D0A68"/>
    <w:rsid w:val="009D1153"/>
    <w:rsid w:val="00A052B7"/>
    <w:rsid w:val="00A15056"/>
    <w:rsid w:val="00A32567"/>
    <w:rsid w:val="00A37928"/>
    <w:rsid w:val="00A37CF3"/>
    <w:rsid w:val="00A540F3"/>
    <w:rsid w:val="00A64427"/>
    <w:rsid w:val="00A6594E"/>
    <w:rsid w:val="00AB0A4E"/>
    <w:rsid w:val="00AE1FB5"/>
    <w:rsid w:val="00B41396"/>
    <w:rsid w:val="00B44359"/>
    <w:rsid w:val="00B563F5"/>
    <w:rsid w:val="00B646E5"/>
    <w:rsid w:val="00B646E9"/>
    <w:rsid w:val="00B76965"/>
    <w:rsid w:val="00B76D0C"/>
    <w:rsid w:val="00B8792D"/>
    <w:rsid w:val="00B90422"/>
    <w:rsid w:val="00B96C35"/>
    <w:rsid w:val="00BA0BF1"/>
    <w:rsid w:val="00BA21AE"/>
    <w:rsid w:val="00BA3DBF"/>
    <w:rsid w:val="00BB060E"/>
    <w:rsid w:val="00BB067A"/>
    <w:rsid w:val="00BC016C"/>
    <w:rsid w:val="00BC0C51"/>
    <w:rsid w:val="00BC73B1"/>
    <w:rsid w:val="00BD2D3B"/>
    <w:rsid w:val="00BF4023"/>
    <w:rsid w:val="00C03456"/>
    <w:rsid w:val="00C44451"/>
    <w:rsid w:val="00C45BDE"/>
    <w:rsid w:val="00C619C3"/>
    <w:rsid w:val="00C64D5D"/>
    <w:rsid w:val="00C65E71"/>
    <w:rsid w:val="00C708DD"/>
    <w:rsid w:val="00C70CDD"/>
    <w:rsid w:val="00C94AF2"/>
    <w:rsid w:val="00CA779E"/>
    <w:rsid w:val="00CD6A99"/>
    <w:rsid w:val="00CE00B7"/>
    <w:rsid w:val="00CE40FC"/>
    <w:rsid w:val="00CE5E84"/>
    <w:rsid w:val="00CE75C9"/>
    <w:rsid w:val="00CF2E55"/>
    <w:rsid w:val="00CF7416"/>
    <w:rsid w:val="00CF783D"/>
    <w:rsid w:val="00D01EE0"/>
    <w:rsid w:val="00D12FD7"/>
    <w:rsid w:val="00D15EF3"/>
    <w:rsid w:val="00D24C92"/>
    <w:rsid w:val="00D60FCE"/>
    <w:rsid w:val="00D86720"/>
    <w:rsid w:val="00D960A4"/>
    <w:rsid w:val="00DA142C"/>
    <w:rsid w:val="00DA2608"/>
    <w:rsid w:val="00DB36DB"/>
    <w:rsid w:val="00DC5D6D"/>
    <w:rsid w:val="00DE4385"/>
    <w:rsid w:val="00E034E7"/>
    <w:rsid w:val="00E1532F"/>
    <w:rsid w:val="00E21343"/>
    <w:rsid w:val="00E22D19"/>
    <w:rsid w:val="00E2618E"/>
    <w:rsid w:val="00E326DA"/>
    <w:rsid w:val="00E45F76"/>
    <w:rsid w:val="00E46DEB"/>
    <w:rsid w:val="00E5430C"/>
    <w:rsid w:val="00E55A9E"/>
    <w:rsid w:val="00E66B39"/>
    <w:rsid w:val="00E77B69"/>
    <w:rsid w:val="00E94D4F"/>
    <w:rsid w:val="00EA5012"/>
    <w:rsid w:val="00EA6D0D"/>
    <w:rsid w:val="00EB0178"/>
    <w:rsid w:val="00EB6EEF"/>
    <w:rsid w:val="00EC1AFD"/>
    <w:rsid w:val="00ED5DE2"/>
    <w:rsid w:val="00EE0492"/>
    <w:rsid w:val="00EF04EC"/>
    <w:rsid w:val="00EF62D4"/>
    <w:rsid w:val="00F3387D"/>
    <w:rsid w:val="00F45090"/>
    <w:rsid w:val="00F522B8"/>
    <w:rsid w:val="00F67846"/>
    <w:rsid w:val="00F73D44"/>
    <w:rsid w:val="00F85781"/>
    <w:rsid w:val="00F9192A"/>
    <w:rsid w:val="00FA3490"/>
    <w:rsid w:val="00FA7947"/>
    <w:rsid w:val="00FB3B72"/>
    <w:rsid w:val="00FC54D3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  <w:style w:type="paragraph" w:customStyle="1" w:styleId="Odstavec1">
    <w:name w:val="Odstavec1"/>
    <w:basedOn w:val="Normlnweb"/>
    <w:rsid w:val="00316FF0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316F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alek@seznam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8465-A10B-4B3C-BDB1-6F3F49D1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4</cp:revision>
  <cp:lastPrinted>2023-07-05T06:13:00Z</cp:lastPrinted>
  <dcterms:created xsi:type="dcterms:W3CDTF">2023-07-05T05:52:00Z</dcterms:created>
  <dcterms:modified xsi:type="dcterms:W3CDTF">2023-07-05T06:24:00Z</dcterms:modified>
</cp:coreProperties>
</file>